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pacing w:before="240" w:after="283"/>
        <w:rPr/>
      </w:pPr>
      <w:r>
        <w:rPr/>
        <w:t>Информация Минтруда России от 28.11.2012г.</w:t>
      </w:r>
    </w:p>
    <w:p>
      <w:pPr>
        <w:pStyle w:val="Heading2"/>
        <w:rPr/>
      </w:pPr>
      <w:r>
        <w:rPr/>
        <w:t>«О форме для предоставления сведений о деятельности комиссий по соблюдению требований к служебному поведению федеральных государственных служащих и урегулированию конфликта интересов, а также аттестационных комиссий»</w:t>
      </w:r>
    </w:p>
    <w:p>
      <w:pPr>
        <w:pStyle w:val="TextBody"/>
        <w:rPr/>
      </w:pPr>
      <w:r>
        <w:rPr/>
        <w:t>Протоколом заседания президиума Совета при Президенте Российской Федерации по противодействию коррупции от 28 сентября 2010 г. № 18 Минтруду России поручено осуществлять мониторинг деятельности комиссий федеральных государственных органов по соблюдению требований к служебному поведению федеральных государственных служащих и урегулированию конфликта интересов, а также аттестационных комиссий.</w:t>
      </w:r>
    </w:p>
    <w:p>
      <w:pPr>
        <w:pStyle w:val="TextBody"/>
        <w:spacing w:before="0" w:after="283"/>
        <w:rPr/>
      </w:pPr>
      <w:r>
        <w:rPr/>
        <w:t>Предоставление информации в установленном порядке осуществляется по форме мониторинга деятельности комиссий по соблюдению требований к служебному поведению федеральных государственных служащих и урегулированию конфликта интересов, а также аттестационных комиссий. Соответствующие сведения представляются федеральными государственными органами в адрес Минтруда России ежеквартально в срок не позднее 1 числа месяца следующего за отчетным кварталом, а за IV квартал – не позднее 15 декабря отчетного года.</w:t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DejaVu Sans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TextBody"/>
    <w:qFormat/>
    <w:pPr/>
    <w:rPr>
      <w:rFonts w:ascii="Thorndale" w:hAnsi="Thorndale"/>
      <w:b/>
      <w:bCs/>
      <w:sz w:val="48"/>
      <w:szCs w:val="44"/>
    </w:rPr>
  </w:style>
  <w:style w:type="paragraph" w:styleId="Heading2">
    <w:name w:val="Heading 2"/>
    <w:basedOn w:val="Heading"/>
    <w:next w:val="TextBody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InternetLink">
    <w:name w:val="Internet 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283"/>
    </w:pPr>
    <w:rPr>
      <w:rFonts w:ascii="Albany" w:hAnsi="Albany"/>
      <w:sz w:val="28"/>
      <w:szCs w:val="26"/>
    </w:rPr>
  </w:style>
  <w:style w:type="paragraph" w:styleId="TextBody">
    <w:name w:val="Body Text"/>
    <w:basedOn w:val="Normal"/>
    <w:pPr>
      <w:spacing w:before="0" w:after="283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orizontalLine">
    <w:name w:val="Horizontal Line"/>
    <w:basedOn w:val="Normal"/>
    <w:next w:val="TextBody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Sender">
    <w:name w:val="Envelope Return"/>
    <w:basedOn w:val="Normal"/>
    <w:pPr/>
    <w:rPr>
      <w:i/>
    </w:rPr>
  </w:style>
  <w:style w:type="paragraph" w:styleId="TableContents">
    <w:name w:val="Table Contents"/>
    <w:basedOn w:val="TextBody"/>
    <w:qFormat/>
    <w:pPr/>
    <w:rPr/>
  </w:style>
  <w:style w:type="paragraph" w:styleId="Footer">
    <w:name w:val="Footer"/>
    <w:basedOn w:val="Normal"/>
    <w:pPr>
      <w:suppressLineNumbers/>
      <w:tabs>
        <w:tab w:val="center" w:pos="4818" w:leader="none"/>
        <w:tab w:val="right" w:pos="9637" w:leader="none"/>
      </w:tabs>
    </w:pPr>
    <w:rPr/>
  </w:style>
  <w:style w:type="paragraph" w:styleId="Header">
    <w:name w:val="Header"/>
    <w:basedOn w:val="Normal"/>
    <w:pPr>
      <w:suppressLineNumbers/>
      <w:tabs>
        <w:tab w:val="center" w:pos="4818" w:leader="none"/>
        <w:tab w:val="right" w:pos="9637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LibreOffice/5.3.7.2$Linux_X86_64 LibreOffice_project/6b8ed514a9f8b44d37a1b96673cbbdd077e24059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